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BAF" w:rsidRPr="00A704A3" w:rsidRDefault="00F63BAF" w:rsidP="00A704A3">
      <w:pPr>
        <w:pStyle w:val="ListParagraph"/>
        <w:numPr>
          <w:ilvl w:val="0"/>
          <w:numId w:val="9"/>
        </w:numPr>
        <w:spacing w:before="240"/>
        <w:contextualSpacing w:val="0"/>
        <w:rPr>
          <w:rFonts w:ascii="Arial" w:hAnsi="Arial" w:cs="Arial"/>
          <w:sz w:val="20"/>
        </w:rPr>
      </w:pPr>
      <w:r w:rsidRPr="00A704A3">
        <w:rPr>
          <w:rFonts w:ascii="Arial" w:hAnsi="Arial" w:cs="Arial"/>
          <w:sz w:val="20"/>
        </w:rPr>
        <w:t>GENERAL</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SUMMARY</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Section Includes:</w:t>
      </w:r>
    </w:p>
    <w:p w:rsidR="00F63BAF" w:rsidRPr="00A704A3" w:rsidRDefault="008D6113"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Ceramic</w:t>
      </w:r>
      <w:r w:rsidR="00F63BAF" w:rsidRPr="00A704A3">
        <w:rPr>
          <w:rFonts w:ascii="Arial" w:hAnsi="Arial" w:cs="Arial"/>
          <w:sz w:val="20"/>
        </w:rPr>
        <w:t xml:space="preserve"> wall tile.</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Tile backing panels.</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Metal edge strips.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Related Requirements:</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Section 07</w:t>
      </w:r>
      <w:r w:rsidR="00002B8E" w:rsidRPr="00A704A3">
        <w:rPr>
          <w:rFonts w:ascii="Arial" w:hAnsi="Arial" w:cs="Arial"/>
          <w:sz w:val="20"/>
        </w:rPr>
        <w:t xml:space="preserve"> </w:t>
      </w:r>
      <w:r w:rsidRPr="00A704A3">
        <w:rPr>
          <w:rFonts w:ascii="Arial" w:hAnsi="Arial" w:cs="Arial"/>
          <w:sz w:val="20"/>
        </w:rPr>
        <w:t>92</w:t>
      </w:r>
      <w:r w:rsidR="00002B8E" w:rsidRPr="00A704A3">
        <w:rPr>
          <w:rFonts w:ascii="Arial" w:hAnsi="Arial" w:cs="Arial"/>
          <w:sz w:val="20"/>
        </w:rPr>
        <w:t xml:space="preserve"> 00 </w:t>
      </w:r>
      <w:r w:rsidRPr="00A704A3">
        <w:rPr>
          <w:rFonts w:ascii="Arial" w:hAnsi="Arial" w:cs="Arial"/>
          <w:sz w:val="20"/>
        </w:rPr>
        <w:t>Joint Sealants for sealing of expansion, contraction, control, and isolation joints in tile surfaces.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DEFINITIONS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General: Definitions in the ANSI A108 series of tile installation standards and in ANSI A137.1 apply to Work of this Section unless otherwise specified.</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Module Size: Actual tile size plus joint width indicated.</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Face Size: Actual tile size, excluding spacer lugs.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PREINSTALLATION MEETINGS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 xml:space="preserve">Preinstallation Conference: Conduct conference at </w:t>
      </w:r>
      <w:r w:rsidR="00332558" w:rsidRPr="00A704A3">
        <w:rPr>
          <w:rFonts w:ascii="Arial" w:hAnsi="Arial" w:cs="Arial"/>
          <w:sz w:val="20"/>
        </w:rPr>
        <w:t>p</w:t>
      </w:r>
      <w:r w:rsidRPr="00A704A3">
        <w:rPr>
          <w:rFonts w:ascii="Arial" w:hAnsi="Arial" w:cs="Arial"/>
          <w:sz w:val="20"/>
        </w:rPr>
        <w:t>roject site.</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Review requirements in ANSI A108.01 for substrates and for preparation by other trades.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ACTION SUBMITTALS</w:t>
      </w:r>
    </w:p>
    <w:p w:rsidR="00477F48" w:rsidRPr="00A704A3" w:rsidRDefault="00477F48"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Comply with requirements</w:t>
      </w:r>
      <w:r w:rsidR="000176F9" w:rsidRPr="00A704A3">
        <w:rPr>
          <w:rFonts w:ascii="Arial" w:hAnsi="Arial" w:cs="Arial"/>
          <w:sz w:val="20"/>
        </w:rPr>
        <w:t xml:space="preserve"> of Section 01 33 00 Submittal Procedures</w:t>
      </w:r>
      <w:r w:rsidRPr="00A704A3">
        <w:rPr>
          <w:rFonts w:ascii="Arial" w:hAnsi="Arial" w:cs="Arial"/>
          <w:sz w:val="20"/>
        </w:rPr>
        <w:t>.</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Product Data: For each type of product.</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Samples for Verification:</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Assembled samples mounted on a rigid panel, with grouted joints, for each type and composition of tile and for each color and finish r</w:t>
      </w:r>
      <w:r w:rsidR="00332558" w:rsidRPr="00A704A3">
        <w:rPr>
          <w:rFonts w:ascii="Arial" w:hAnsi="Arial" w:cs="Arial"/>
          <w:sz w:val="20"/>
        </w:rPr>
        <w:t>equired. Make samples at least 24</w:t>
      </w:r>
      <w:r w:rsidR="005517F8" w:rsidRPr="00A704A3">
        <w:rPr>
          <w:rFonts w:ascii="Arial" w:hAnsi="Arial" w:cs="Arial"/>
          <w:sz w:val="20"/>
        </w:rPr>
        <w:t xml:space="preserve"> inches square</w:t>
      </w:r>
      <w:r w:rsidRPr="00A704A3">
        <w:rPr>
          <w:rFonts w:ascii="Arial" w:hAnsi="Arial" w:cs="Arial"/>
          <w:sz w:val="20"/>
        </w:rPr>
        <w:t>, but not fewer than four tiles. Use grout of type and in color or colors approved for completed Work.</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INFORMATIONAL SUBMITTALS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Qualification Data: For Installer.</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MAINTENANCE MATERIAL SUBMITTALS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Furnish extra materials that match and are from same production runs as products installed and that are packaged with protective covering for storage and identified with labels describing contents.</w:t>
      </w:r>
    </w:p>
    <w:p w:rsidR="00F63BAF" w:rsidRPr="00A704A3" w:rsidRDefault="00332558"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lastRenderedPageBreak/>
        <w:t>Tile and Trim Units:</w:t>
      </w:r>
      <w:r w:rsidR="00F63BAF" w:rsidRPr="00A704A3">
        <w:rPr>
          <w:rFonts w:ascii="Arial" w:hAnsi="Arial" w:cs="Arial"/>
          <w:sz w:val="20"/>
        </w:rPr>
        <w:t> Furnish quantity of full-size units equal to 3 percent of amount installed for each type, composition, colo</w:t>
      </w:r>
      <w:r w:rsidR="00002B8E" w:rsidRPr="00A704A3">
        <w:rPr>
          <w:rFonts w:ascii="Arial" w:hAnsi="Arial" w:cs="Arial"/>
          <w:sz w:val="20"/>
        </w:rPr>
        <w:t>r, pattern, and size indicated.</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Grout: Furnish quantity of grout equal to 3 percent of amount installed for each type, composition, and color indicated.</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QUALITY ASSURANCE</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Installer Qualifications:</w:t>
      </w:r>
    </w:p>
    <w:p w:rsidR="00F63BAF" w:rsidRPr="00A704A3" w:rsidRDefault="00332558"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 xml:space="preserve">Installer employs </w:t>
      </w:r>
      <w:r w:rsidR="00F63BAF" w:rsidRPr="00A704A3">
        <w:rPr>
          <w:rFonts w:ascii="Arial" w:hAnsi="Arial" w:cs="Arial"/>
          <w:sz w:val="20"/>
        </w:rPr>
        <w:t>Ceramic Tile Education Foundation Certified Installers.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DELIVERY, STORAGE, AND HANDLING</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Deliver and store packaged materials in original containers with seals unbroken and labels intact until time of use. Comply with requirements in ANSI A137.1 for labeling tile packages.</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Store tile and cementitious materials on elevated platforms, under cover, and in a dry location.</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Store aggregates where grading and other required characteristics can be maintained and contamination can be avoided.</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Store liquid materials in unopened containers and protected from freezing.</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FIELD CONDITIONS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Environmental Limitations: Do not install tile until construction in spaces is complete and ambient temperature and humidity conditions are maintained at the levels indicated in referenced standards and manufacturer's written instructions.</w:t>
      </w:r>
    </w:p>
    <w:p w:rsidR="00F63BAF" w:rsidRPr="00A704A3" w:rsidRDefault="00F63BAF" w:rsidP="00A704A3">
      <w:pPr>
        <w:pStyle w:val="ListParagraph"/>
        <w:numPr>
          <w:ilvl w:val="0"/>
          <w:numId w:val="9"/>
        </w:numPr>
        <w:spacing w:before="240"/>
        <w:contextualSpacing w:val="0"/>
        <w:rPr>
          <w:rFonts w:ascii="Arial" w:hAnsi="Arial" w:cs="Arial"/>
          <w:sz w:val="20"/>
        </w:rPr>
      </w:pPr>
      <w:r w:rsidRPr="00A704A3">
        <w:rPr>
          <w:rFonts w:ascii="Arial" w:hAnsi="Arial" w:cs="Arial"/>
          <w:sz w:val="20"/>
        </w:rPr>
        <w:t>PRODUCTS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MANUFACTURERS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Sourc</w:t>
      </w:r>
      <w:r w:rsidR="005810E5" w:rsidRPr="00A704A3">
        <w:rPr>
          <w:rFonts w:ascii="Arial" w:hAnsi="Arial" w:cs="Arial"/>
          <w:sz w:val="20"/>
        </w:rPr>
        <w:t xml:space="preserve">e Limitations for Tile: Obtain </w:t>
      </w:r>
      <w:r w:rsidRPr="00A704A3">
        <w:rPr>
          <w:rFonts w:ascii="Arial" w:hAnsi="Arial" w:cs="Arial"/>
          <w:sz w:val="20"/>
        </w:rPr>
        <w:t>tile of each type and color or finish from single source or producer.</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Obtain tile of each type and color or finish from same production run and of consistent quality in appearance and physical properties for each contiguous area.</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Source Limitations for Setting and Grouting Materials: Obtain ingredients of a uniform quality for each mortar, adhesive, and grout component from single manufacturer and each aggregate from single source or producer.</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Obtain setting and grouting materials, except for unmodified Portland cement and aggregate, from single manufacturer.</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Source Limitations for Other Products: Obtain each of the following products specified in this Section from a single manufacturer:</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Cementitious backer units.</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Metal edge strips.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PRODUCTS, GENERAL</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lastRenderedPageBreak/>
        <w:t>ANSI Ceramic Tile Standard: Provide tile that complies with ANSI A137.1 for types, compositions, and other characteristics indicated.</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Provide tile complying with Standard grade requirements</w:t>
      </w:r>
      <w:r w:rsidR="005810E5" w:rsidRPr="00A704A3">
        <w:rPr>
          <w:rFonts w:ascii="Arial" w:hAnsi="Arial" w:cs="Arial"/>
          <w:sz w:val="20"/>
        </w:rPr>
        <w:t>.</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ANSI Standards for Tile Installation Materials: Provide materials complying with ANSI A108.02, ANSI standards referenced in other Part 2 articles, ANSI standards referenced by TCNA installation methods specified in tile installation schedules, and other requirements specified.</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Factory Blending: For tile exhibiting color variations within ranges, blend tile in factory and package so tile units taken from one package show same range in colors as those taken from other packages and match approved Samples.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Mounting: For factory-mounted tile, provide back- or edge-mounted tile assemblies as standard with manufacturer unless otherwise indicated.</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Where til</w:t>
      </w:r>
      <w:r w:rsidR="00063289" w:rsidRPr="00A704A3">
        <w:rPr>
          <w:rFonts w:ascii="Arial" w:hAnsi="Arial" w:cs="Arial"/>
          <w:sz w:val="20"/>
        </w:rPr>
        <w:t>e is indicated for installation</w:t>
      </w:r>
      <w:r w:rsidR="005810E5" w:rsidRPr="00A704A3">
        <w:rPr>
          <w:rFonts w:ascii="Arial" w:hAnsi="Arial" w:cs="Arial"/>
          <w:sz w:val="20"/>
        </w:rPr>
        <w:t xml:space="preserve"> </w:t>
      </w:r>
      <w:r w:rsidRPr="00A704A3">
        <w:rPr>
          <w:rFonts w:ascii="Arial" w:hAnsi="Arial" w:cs="Arial"/>
          <w:sz w:val="20"/>
        </w:rPr>
        <w:t>in wet areas, do not use back- or edge-mounted tile assemblies unless tile manufacturer specifies in writing that this type of mounting is suitable for installation indicated and has a record of successful in-service performance.</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TILE PRODUCTS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 xml:space="preserve">Ceramic Tile </w:t>
      </w:r>
    </w:p>
    <w:p w:rsidR="00F63BAF" w:rsidRPr="00A704A3" w:rsidRDefault="001F3137" w:rsidP="00A704A3">
      <w:pPr>
        <w:pStyle w:val="ListParagraph"/>
        <w:numPr>
          <w:ilvl w:val="3"/>
          <w:numId w:val="9"/>
        </w:numPr>
        <w:spacing w:before="240"/>
        <w:contextualSpacing w:val="0"/>
        <w:rPr>
          <w:rFonts w:ascii="Arial" w:hAnsi="Arial" w:cs="Arial"/>
          <w:sz w:val="20"/>
        </w:rPr>
      </w:pPr>
      <w:hyperlink r:id="rId7" w:history="1">
        <w:r w:rsidR="005810E5" w:rsidRPr="00A704A3">
          <w:rPr>
            <w:rStyle w:val="Hyperlink"/>
            <w:rFonts w:ascii="Arial" w:hAnsi="Arial" w:cs="Arial"/>
            <w:sz w:val="20"/>
          </w:rPr>
          <w:t>Basis</w:t>
        </w:r>
      </w:hyperlink>
      <w:r w:rsidR="00063289" w:rsidRPr="00A704A3">
        <w:rPr>
          <w:rFonts w:ascii="Arial" w:hAnsi="Arial" w:cs="Arial"/>
          <w:sz w:val="20"/>
        </w:rPr>
        <w:t xml:space="preserve"> of Design:  P</w:t>
      </w:r>
      <w:r w:rsidR="005810E5" w:rsidRPr="00A704A3">
        <w:rPr>
          <w:rFonts w:ascii="Arial" w:hAnsi="Arial" w:cs="Arial"/>
          <w:sz w:val="20"/>
        </w:rPr>
        <w:t>rovide produ</w:t>
      </w:r>
      <w:r w:rsidR="003F56DB" w:rsidRPr="00A704A3">
        <w:rPr>
          <w:rFonts w:ascii="Arial" w:hAnsi="Arial" w:cs="Arial"/>
          <w:sz w:val="20"/>
        </w:rPr>
        <w:t>cts indicated on drawings or Approved E</w:t>
      </w:r>
      <w:r w:rsidR="005810E5" w:rsidRPr="00A704A3">
        <w:rPr>
          <w:rFonts w:ascii="Arial" w:hAnsi="Arial" w:cs="Arial"/>
          <w:sz w:val="20"/>
        </w:rPr>
        <w:t>qual.</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TILE BACKING PANELS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Cementitious Backer Units: ANSI A118.9 or ASTM C 1325, Type A, in maximum lengths available to minimize end-to-end butt joints.</w:t>
      </w:r>
    </w:p>
    <w:p w:rsidR="00F63BAF" w:rsidRPr="00A704A3" w:rsidRDefault="001F3137" w:rsidP="00A704A3">
      <w:pPr>
        <w:pStyle w:val="ListParagraph"/>
        <w:numPr>
          <w:ilvl w:val="3"/>
          <w:numId w:val="9"/>
        </w:numPr>
        <w:spacing w:before="240"/>
        <w:contextualSpacing w:val="0"/>
        <w:rPr>
          <w:rFonts w:ascii="Arial" w:hAnsi="Arial" w:cs="Arial"/>
          <w:sz w:val="20"/>
        </w:rPr>
      </w:pPr>
      <w:hyperlink r:id="rId8" w:history="1">
        <w:r w:rsidR="005810E5" w:rsidRPr="00A704A3">
          <w:rPr>
            <w:rStyle w:val="Hyperlink"/>
            <w:rFonts w:ascii="Arial" w:hAnsi="Arial" w:cs="Arial"/>
            <w:sz w:val="20"/>
          </w:rPr>
          <w:t>Provide</w:t>
        </w:r>
      </w:hyperlink>
      <w:r w:rsidR="005810E5" w:rsidRPr="00A704A3">
        <w:rPr>
          <w:rFonts w:ascii="Arial" w:hAnsi="Arial" w:cs="Arial"/>
          <w:sz w:val="20"/>
        </w:rPr>
        <w:t xml:space="preserve"> products manufactured by USG Corporation, Custom Building Products or Approved Equal.</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Thickness: 5/8 inch (15.9 mm).</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SETTING MATERIALS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Water-Cleanable, Tile-Setting Epoxy: ANSI A118.3.</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GROUT MATERIALS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Water-Cleanable Epoxy Grout: ANSI A118</w:t>
      </w:r>
      <w:r w:rsidR="00337E78" w:rsidRPr="00A704A3">
        <w:rPr>
          <w:rFonts w:ascii="Arial" w:hAnsi="Arial" w:cs="Arial"/>
          <w:sz w:val="20"/>
        </w:rPr>
        <w:t>.3</w:t>
      </w:r>
      <w:r w:rsidRPr="00A704A3">
        <w:rPr>
          <w:rFonts w:ascii="Arial" w:hAnsi="Arial" w:cs="Arial"/>
          <w:sz w:val="20"/>
        </w:rPr>
        <w:t>, with a VOC content of 65 g/L or less.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MISCELLANEOUS MATERIALS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 xml:space="preserve">Metal Edge Strips: </w:t>
      </w:r>
      <w:r w:rsidR="00337E78" w:rsidRPr="00A704A3">
        <w:rPr>
          <w:rFonts w:ascii="Arial" w:hAnsi="Arial" w:cs="Arial"/>
          <w:sz w:val="20"/>
        </w:rPr>
        <w:t>As manufactured by Schulter and as indicated on drawings</w:t>
      </w:r>
      <w:r w:rsidR="00002B8E" w:rsidRPr="00A704A3">
        <w:rPr>
          <w:rFonts w:ascii="Arial" w:hAnsi="Arial" w:cs="Arial"/>
          <w:sz w:val="20"/>
        </w:rPr>
        <w:t>, or Approved Equal</w:t>
      </w:r>
      <w:r w:rsidR="00337E78" w:rsidRPr="00A704A3">
        <w:rPr>
          <w:rFonts w:ascii="Arial" w:hAnsi="Arial" w:cs="Arial"/>
          <w:sz w:val="20"/>
        </w:rPr>
        <w:t>.</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Tile Cleaner: A neutral cleaner capable of removing soil and residue without harming tile and grout surfaces, specifically approved for materials and installations indicated by tile and grout manufacturers.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lastRenderedPageBreak/>
        <w:t>MIXING MORTARS AND GROUT</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Mix mortars and grouts to comply with referenced standards and mortar and grout manufacturers' written instructions.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Add materials, water, and additives in accurate proportions.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Obtain and use type of mixing equipment, mixer speeds, mixing containers, mixing time, and other procedures to produce mortars and grouts of uniform quality with optimum performance characteristics for installations indicated.</w:t>
      </w:r>
    </w:p>
    <w:p w:rsidR="00F63BAF" w:rsidRPr="00A704A3" w:rsidRDefault="00F63BAF" w:rsidP="00A704A3">
      <w:pPr>
        <w:pStyle w:val="ListParagraph"/>
        <w:numPr>
          <w:ilvl w:val="0"/>
          <w:numId w:val="9"/>
        </w:numPr>
        <w:spacing w:before="240"/>
        <w:contextualSpacing w:val="0"/>
        <w:rPr>
          <w:rFonts w:ascii="Arial" w:hAnsi="Arial" w:cs="Arial"/>
          <w:sz w:val="20"/>
        </w:rPr>
      </w:pPr>
      <w:r w:rsidRPr="00A704A3">
        <w:rPr>
          <w:rFonts w:ascii="Arial" w:hAnsi="Arial" w:cs="Arial"/>
          <w:sz w:val="20"/>
        </w:rPr>
        <w:t>EXECUTION</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EXAMINATION</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Examine substrates, areas, and conditions where tile will be installed, with Installer present, for compliance with requirements for installation tolerances and other conditions affecting performance of the Work.</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Verify that substrates for setting tile are firm; dry; clean; free of coatings that are incompatible with tile-setting materials, including curing compounds and other substances that contain soap, wax, oil, or silicone; and comply with flatness tolerances required by ANSI A108.01 for installations indicated.</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Verify that protrusions, bumps, and ridges have been removed by sanding or grinding.</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Verify that installation of grounds, anchors, recessed frames, electrical and mechanical units of work, and similar items located in or behind tile has been completed.</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 xml:space="preserve">Verify that joints and cracks in tile substrates are coordinated with tile joint locations; if not coordinated, adjust joint locations in consultation with </w:t>
      </w:r>
      <w:r w:rsidR="000176F9" w:rsidRPr="00A704A3">
        <w:rPr>
          <w:rFonts w:ascii="Arial" w:hAnsi="Arial" w:cs="Arial"/>
          <w:sz w:val="20"/>
        </w:rPr>
        <w:t>Owner</w:t>
      </w:r>
      <w:r w:rsidRPr="00A704A3">
        <w:rPr>
          <w:rFonts w:ascii="Arial" w:hAnsi="Arial" w:cs="Arial"/>
          <w:sz w:val="20"/>
        </w:rPr>
        <w:t>.</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Proceed with installation only after unsatisfactory conditions have been corrected.</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CERAMIC TILE INSTALLATION</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Comply with TCNA's "Handbook for Ceramic, Glass, and Stone Tile Installation" for TCNA installation methods specified in tile installation schedules. Comply with parts of the ANSI A108 series "Specifications for Installation of Ceramic Tile" that are referenced in TCNA installation methods, specified in tile installation schedules, and apply to types of setting and grouting materials used.</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Extend tile work into recesses and under or behind equipment and fixtures to form complete covering without interruptions unless otherwise indicated. Terminate work neatly at obstructions, edges, and corners without disrupting pattern or joint alignments.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Accurately form intersections and returns. Perform cutting and drilling of tile without marring visible surfaces. Carefully grind cut edges of tile abutting trim, finish, or built-in items for straight aligned joints. Fit tile closely to electrical outlets, piping, fixtures, and other penetrations so plates, collars, or covers overlap tile.</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Provide manufacturer's standard trim shapes where necessary to eliminate exposed tile edges.</w:t>
      </w:r>
    </w:p>
    <w:p w:rsidR="00F63BAF" w:rsidRPr="00A704A3" w:rsidRDefault="00CD72FE"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J</w:t>
      </w:r>
      <w:r w:rsidR="00F63BAF" w:rsidRPr="00A704A3">
        <w:rPr>
          <w:rFonts w:ascii="Arial" w:hAnsi="Arial" w:cs="Arial"/>
          <w:sz w:val="20"/>
        </w:rPr>
        <w:t xml:space="preserve">ointing Pattern: Lay tile in grid pattern unless otherwise indicated. Lay out tile work and center tile fields in both directions in each space or on each wall area. Lay out tile work to </w:t>
      </w:r>
      <w:r w:rsidR="00F63BAF" w:rsidRPr="00A704A3">
        <w:rPr>
          <w:rFonts w:ascii="Arial" w:hAnsi="Arial" w:cs="Arial"/>
          <w:sz w:val="20"/>
        </w:rPr>
        <w:lastRenderedPageBreak/>
        <w:t>minimize the use of pieces that are less than half of a tile. Provide uniform joint widths unless otherwise indicated.</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Joint Widths: Unless otherwise indicated, install tile with the following joint widths:</w:t>
      </w:r>
    </w:p>
    <w:p w:rsidR="00F63BAF" w:rsidRPr="00A704A3" w:rsidRDefault="00337E78"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 xml:space="preserve">Glazed Wall Tile: </w:t>
      </w:r>
      <w:r w:rsidR="00F63BAF" w:rsidRPr="00A704A3">
        <w:rPr>
          <w:rFonts w:ascii="Arial" w:hAnsi="Arial" w:cs="Arial"/>
          <w:sz w:val="20"/>
        </w:rPr>
        <w:t>1/8 inch (3.2 mm).</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Expansion Joints: Provide expansion joints and other sealant-filled joints, including control, contraction, and isolation joints, where indicated. Form joints during installation of setting materials, mortar beds, and tile. Do not saw-cut joints after installing tiles.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TILE BACKING PANEL INSTALLATION</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Install panels and treat joints according to ANSI A108.11 and manufacturer's written instructions for</w:t>
      </w:r>
      <w:r w:rsidR="00337E78" w:rsidRPr="00A704A3">
        <w:rPr>
          <w:rFonts w:ascii="Arial" w:hAnsi="Arial" w:cs="Arial"/>
          <w:sz w:val="20"/>
        </w:rPr>
        <w:t xml:space="preserve"> type of application indicated.</w:t>
      </w:r>
      <w:r w:rsidRPr="00A704A3">
        <w:rPr>
          <w:rFonts w:ascii="Arial" w:hAnsi="Arial" w:cs="Arial"/>
          <w:sz w:val="20"/>
        </w:rPr>
        <w:t> Use modified dry-set mortar for bonding material unless otherwise directed in manufacturer's written instructions.</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ADJUSTING AND CLEANING</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Remove and replace tile that is damaged or that does not match adjoining tile. Provide new matching units, installed as specified and in a manner to eliminate evidence of replacement.</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Cleaning: On completion of placement and grouting, clean all ceramic tile surfaces so they are free of foreign matter.</w:t>
      </w:r>
    </w:p>
    <w:p w:rsidR="00F63BAF" w:rsidRPr="00A704A3" w:rsidRDefault="00F63BAF" w:rsidP="00A704A3">
      <w:pPr>
        <w:pStyle w:val="ListParagraph"/>
        <w:numPr>
          <w:ilvl w:val="3"/>
          <w:numId w:val="9"/>
        </w:numPr>
        <w:spacing w:before="240"/>
        <w:contextualSpacing w:val="0"/>
        <w:rPr>
          <w:rFonts w:ascii="Arial" w:hAnsi="Arial" w:cs="Arial"/>
          <w:sz w:val="20"/>
        </w:rPr>
      </w:pPr>
      <w:r w:rsidRPr="00A704A3">
        <w:rPr>
          <w:rFonts w:ascii="Arial" w:hAnsi="Arial" w:cs="Arial"/>
          <w:sz w:val="20"/>
        </w:rPr>
        <w:t>Remove grout residue from tile as soon as possible.</w:t>
      </w:r>
    </w:p>
    <w:p w:rsidR="00F63BAF" w:rsidRPr="00A704A3" w:rsidRDefault="00F63BAF" w:rsidP="00A704A3">
      <w:pPr>
        <w:pStyle w:val="ListParagraph"/>
        <w:numPr>
          <w:ilvl w:val="3"/>
          <w:numId w:val="9"/>
        </w:numPr>
        <w:spacing w:before="240"/>
        <w:rPr>
          <w:rFonts w:ascii="Arial" w:hAnsi="Arial" w:cs="Arial"/>
          <w:sz w:val="20"/>
        </w:rPr>
      </w:pPr>
      <w:r w:rsidRPr="00A704A3">
        <w:rPr>
          <w:rFonts w:ascii="Arial" w:hAnsi="Arial" w:cs="Arial"/>
          <w:sz w:val="20"/>
        </w:rPr>
        <w:t>Clean grout smears and haze from tile according to tile and grout manufacturer's written instructions but no sooner than 10 days after installation. Use only cleaners recommended by tile and grout manufacturers and only after determining that cleaners are safe to use by testing on samples of tile and other surfaces to be cleaned. Protect metal surfaces and plumbing fixtures from effects of cleaning. Flush surfaces with clean water before and after cleaning.</w:t>
      </w:r>
    </w:p>
    <w:p w:rsidR="00F63BAF" w:rsidRPr="00A704A3" w:rsidRDefault="00F63BAF" w:rsidP="00A704A3">
      <w:pPr>
        <w:pStyle w:val="ListParagraph"/>
        <w:numPr>
          <w:ilvl w:val="1"/>
          <w:numId w:val="9"/>
        </w:numPr>
        <w:spacing w:before="240"/>
        <w:contextualSpacing w:val="0"/>
        <w:rPr>
          <w:rFonts w:ascii="Arial" w:hAnsi="Arial" w:cs="Arial"/>
          <w:sz w:val="20"/>
        </w:rPr>
      </w:pPr>
      <w:r w:rsidRPr="00A704A3">
        <w:rPr>
          <w:rFonts w:ascii="Arial" w:hAnsi="Arial" w:cs="Arial"/>
          <w:sz w:val="20"/>
        </w:rPr>
        <w:t>PROTECTION</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Protect installed tile work with kraft paper or other heavy covering during construction period to prevent staining, damage, and wear. If recommended by tile manufacturer, apply coat of neutral protective cleaner to completed tile walls and floors.</w:t>
      </w:r>
    </w:p>
    <w:p w:rsidR="00F63BAF" w:rsidRPr="00A704A3" w:rsidRDefault="00F63BAF" w:rsidP="00A704A3">
      <w:pPr>
        <w:pStyle w:val="ListParagraph"/>
        <w:numPr>
          <w:ilvl w:val="2"/>
          <w:numId w:val="9"/>
        </w:numPr>
        <w:spacing w:before="240"/>
        <w:contextualSpacing w:val="0"/>
        <w:rPr>
          <w:rFonts w:ascii="Arial" w:hAnsi="Arial" w:cs="Arial"/>
          <w:sz w:val="20"/>
        </w:rPr>
      </w:pPr>
      <w:r w:rsidRPr="00A704A3">
        <w:rPr>
          <w:rFonts w:ascii="Arial" w:hAnsi="Arial" w:cs="Arial"/>
          <w:sz w:val="20"/>
        </w:rPr>
        <w:t>Before final inspection, remove protective coverings and rinse neutral protective cleaner from tile surfaces.</w:t>
      </w:r>
    </w:p>
    <w:p w:rsidR="00F63BAF" w:rsidRPr="00A704A3" w:rsidRDefault="00F63BAF" w:rsidP="00A704A3">
      <w:pPr>
        <w:spacing w:before="240"/>
        <w:jc w:val="center"/>
        <w:rPr>
          <w:rFonts w:ascii="Arial" w:hAnsi="Arial" w:cs="Arial"/>
          <w:b/>
          <w:sz w:val="20"/>
        </w:rPr>
      </w:pPr>
      <w:r w:rsidRPr="00A704A3">
        <w:rPr>
          <w:rFonts w:ascii="Arial" w:hAnsi="Arial" w:cs="Arial"/>
          <w:b/>
          <w:sz w:val="20"/>
        </w:rPr>
        <w:t>END OF SECTION</w:t>
      </w:r>
    </w:p>
    <w:sectPr w:rsidR="00F63BAF" w:rsidRPr="00A704A3" w:rsidSect="00002B8E">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FEF" w:rsidRDefault="00AC3FEF">
      <w:r>
        <w:separator/>
      </w:r>
    </w:p>
  </w:endnote>
  <w:endnote w:type="continuationSeparator" w:id="0">
    <w:p w:rsidR="00AC3FEF" w:rsidRDefault="00AC3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137" w:rsidRDefault="001F3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137" w:rsidRDefault="001F3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137" w:rsidRDefault="001F3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FEF" w:rsidRDefault="00AC3FEF">
      <w:r>
        <w:separator/>
      </w:r>
    </w:p>
  </w:footnote>
  <w:footnote w:type="continuationSeparator" w:id="0">
    <w:p w:rsidR="00AC3FEF" w:rsidRDefault="00AC3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137" w:rsidRDefault="001F3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A704A3" w:rsidRPr="00A704A3" w:rsidTr="00EA32DE">
      <w:trPr>
        <w:trHeight w:val="630"/>
      </w:trPr>
      <w:tc>
        <w:tcPr>
          <w:tcW w:w="5058" w:type="dxa"/>
        </w:tcPr>
        <w:p w:rsidR="001F3137" w:rsidRDefault="001F3137" w:rsidP="001F3137">
          <w:pPr>
            <w:pStyle w:val="Header"/>
            <w:tabs>
              <w:tab w:val="left" w:pos="720"/>
            </w:tabs>
            <w:rPr>
              <w:rFonts w:ascii="Arial" w:hAnsi="Arial" w:cs="Arial"/>
              <w:sz w:val="18"/>
              <w:szCs w:val="18"/>
            </w:rPr>
          </w:pPr>
          <w:r>
            <w:rPr>
              <w:rFonts w:ascii="Arial" w:hAnsi="Arial" w:cs="Arial"/>
              <w:sz w:val="18"/>
              <w:szCs w:val="18"/>
            </w:rPr>
            <w:t>UWMC Master Specification</w:t>
          </w:r>
        </w:p>
        <w:p w:rsidR="001F3137" w:rsidRDefault="001F3137" w:rsidP="001F3137">
          <w:pPr>
            <w:pStyle w:val="Header"/>
            <w:tabs>
              <w:tab w:val="left" w:pos="720"/>
            </w:tabs>
            <w:rPr>
              <w:rFonts w:ascii="Arial" w:hAnsi="Arial" w:cs="Arial"/>
              <w:sz w:val="18"/>
              <w:szCs w:val="18"/>
            </w:rPr>
          </w:pPr>
          <w:r>
            <w:rPr>
              <w:rFonts w:ascii="Arial" w:hAnsi="Arial" w:cs="Arial"/>
              <w:sz w:val="18"/>
              <w:szCs w:val="18"/>
            </w:rPr>
            <w:t>UW Project No. 204705</w:t>
          </w:r>
        </w:p>
        <w:p w:rsidR="001F3137" w:rsidRDefault="001F3137" w:rsidP="001F3137">
          <w:pPr>
            <w:pStyle w:val="Header"/>
            <w:tabs>
              <w:tab w:val="left" w:pos="720"/>
            </w:tabs>
            <w:rPr>
              <w:rFonts w:ascii="Arial" w:hAnsi="Arial" w:cs="Arial"/>
              <w:sz w:val="18"/>
              <w:szCs w:val="18"/>
            </w:rPr>
          </w:pPr>
          <w:r>
            <w:rPr>
              <w:rFonts w:ascii="Arial" w:hAnsi="Arial" w:cs="Arial"/>
              <w:sz w:val="18"/>
              <w:szCs w:val="18"/>
            </w:rPr>
            <w:t>Buffalo Design</w:t>
          </w:r>
        </w:p>
        <w:p w:rsidR="00A704A3" w:rsidRPr="00A704A3" w:rsidRDefault="001F3137" w:rsidP="001F3137">
          <w:pPr>
            <w:rPr>
              <w:rFonts w:ascii="Arial" w:hAnsi="Arial" w:cs="Arial"/>
              <w:sz w:val="18"/>
              <w:szCs w:val="18"/>
            </w:rPr>
          </w:pPr>
          <w:r>
            <w:rPr>
              <w:rFonts w:ascii="Arial" w:hAnsi="Arial" w:cs="Arial"/>
              <w:sz w:val="18"/>
              <w:szCs w:val="18"/>
            </w:rPr>
            <w:t>31 August 2018</w:t>
          </w:r>
          <w:bookmarkStart w:id="0" w:name="_GoBack"/>
          <w:bookmarkEnd w:id="0"/>
        </w:p>
      </w:tc>
      <w:tc>
        <w:tcPr>
          <w:tcW w:w="4500" w:type="dxa"/>
        </w:tcPr>
        <w:p w:rsidR="00A704A3" w:rsidRPr="00A704A3" w:rsidRDefault="00A704A3" w:rsidP="00A704A3">
          <w:pPr>
            <w:tabs>
              <w:tab w:val="center" w:pos="4320"/>
              <w:tab w:val="right" w:pos="8640"/>
            </w:tabs>
            <w:jc w:val="right"/>
            <w:rPr>
              <w:rFonts w:ascii="Arial" w:hAnsi="Arial" w:cs="Arial"/>
              <w:sz w:val="18"/>
              <w:szCs w:val="18"/>
            </w:rPr>
          </w:pPr>
          <w:r w:rsidRPr="00A704A3">
            <w:rPr>
              <w:rFonts w:ascii="Arial" w:hAnsi="Arial" w:cs="Arial"/>
              <w:sz w:val="18"/>
              <w:szCs w:val="18"/>
            </w:rPr>
            <w:t xml:space="preserve">Section </w:t>
          </w:r>
          <w:r>
            <w:rPr>
              <w:rFonts w:ascii="Arial" w:hAnsi="Arial" w:cs="Arial"/>
              <w:sz w:val="18"/>
              <w:szCs w:val="18"/>
            </w:rPr>
            <w:t>09 30 13</w:t>
          </w:r>
        </w:p>
        <w:p w:rsidR="00A704A3" w:rsidRPr="00A704A3" w:rsidRDefault="00A704A3" w:rsidP="00A704A3">
          <w:pPr>
            <w:tabs>
              <w:tab w:val="center" w:pos="4320"/>
              <w:tab w:val="right" w:pos="8640"/>
            </w:tabs>
            <w:jc w:val="right"/>
            <w:rPr>
              <w:rFonts w:ascii="Arial" w:hAnsi="Arial" w:cs="Arial"/>
              <w:b/>
              <w:sz w:val="20"/>
            </w:rPr>
          </w:pPr>
          <w:r>
            <w:rPr>
              <w:rFonts w:ascii="Arial" w:hAnsi="Arial" w:cs="Arial"/>
              <w:b/>
              <w:sz w:val="20"/>
            </w:rPr>
            <w:t>CERAMIC TILING</w:t>
          </w:r>
        </w:p>
        <w:p w:rsidR="00A704A3" w:rsidRPr="00A704A3" w:rsidRDefault="00A704A3" w:rsidP="00A704A3">
          <w:pPr>
            <w:tabs>
              <w:tab w:val="center" w:pos="4320"/>
              <w:tab w:val="right" w:pos="8640"/>
            </w:tabs>
            <w:jc w:val="right"/>
            <w:rPr>
              <w:rFonts w:ascii="Arial" w:hAnsi="Arial" w:cs="Arial"/>
              <w:sz w:val="18"/>
              <w:szCs w:val="18"/>
            </w:rPr>
          </w:pPr>
          <w:r w:rsidRPr="00A704A3">
            <w:rPr>
              <w:rFonts w:ascii="Arial" w:hAnsi="Arial" w:cs="Arial"/>
              <w:sz w:val="18"/>
              <w:szCs w:val="18"/>
            </w:rPr>
            <w:t xml:space="preserve">Page </w:t>
          </w:r>
          <w:r w:rsidRPr="00A704A3">
            <w:rPr>
              <w:rFonts w:ascii="Arial" w:hAnsi="Arial" w:cs="Arial"/>
              <w:sz w:val="18"/>
              <w:szCs w:val="18"/>
            </w:rPr>
            <w:fldChar w:fldCharType="begin"/>
          </w:r>
          <w:r w:rsidRPr="00A704A3">
            <w:rPr>
              <w:rFonts w:ascii="Arial" w:hAnsi="Arial" w:cs="Arial"/>
              <w:sz w:val="18"/>
              <w:szCs w:val="18"/>
            </w:rPr>
            <w:instrText xml:space="preserve"> PAGE </w:instrText>
          </w:r>
          <w:r w:rsidRPr="00A704A3">
            <w:rPr>
              <w:rFonts w:ascii="Arial" w:hAnsi="Arial" w:cs="Arial"/>
              <w:sz w:val="18"/>
              <w:szCs w:val="18"/>
            </w:rPr>
            <w:fldChar w:fldCharType="separate"/>
          </w:r>
          <w:r w:rsidRPr="00A704A3">
            <w:rPr>
              <w:rFonts w:ascii="Arial" w:hAnsi="Arial" w:cs="Arial"/>
              <w:sz w:val="18"/>
              <w:szCs w:val="18"/>
            </w:rPr>
            <w:t>2</w:t>
          </w:r>
          <w:r w:rsidRPr="00A704A3">
            <w:rPr>
              <w:rFonts w:ascii="Arial" w:hAnsi="Arial" w:cs="Arial"/>
              <w:sz w:val="18"/>
              <w:szCs w:val="18"/>
            </w:rPr>
            <w:fldChar w:fldCharType="end"/>
          </w:r>
          <w:r w:rsidRPr="00A704A3">
            <w:rPr>
              <w:rFonts w:ascii="Arial" w:hAnsi="Arial" w:cs="Arial"/>
              <w:sz w:val="18"/>
              <w:szCs w:val="18"/>
            </w:rPr>
            <w:t xml:space="preserve"> of </w:t>
          </w:r>
          <w:r w:rsidRPr="00A704A3">
            <w:rPr>
              <w:rFonts w:ascii="Arial" w:hAnsi="Arial" w:cs="Arial"/>
              <w:sz w:val="18"/>
              <w:szCs w:val="18"/>
            </w:rPr>
            <w:fldChar w:fldCharType="begin"/>
          </w:r>
          <w:r w:rsidRPr="00A704A3">
            <w:rPr>
              <w:rFonts w:ascii="Arial" w:hAnsi="Arial" w:cs="Arial"/>
              <w:sz w:val="18"/>
              <w:szCs w:val="18"/>
            </w:rPr>
            <w:instrText xml:space="preserve"> NUMPAGES </w:instrText>
          </w:r>
          <w:r w:rsidRPr="00A704A3">
            <w:rPr>
              <w:rFonts w:ascii="Arial" w:hAnsi="Arial" w:cs="Arial"/>
              <w:sz w:val="18"/>
              <w:szCs w:val="18"/>
            </w:rPr>
            <w:fldChar w:fldCharType="separate"/>
          </w:r>
          <w:r w:rsidRPr="00A704A3">
            <w:rPr>
              <w:rFonts w:ascii="Arial" w:hAnsi="Arial" w:cs="Arial"/>
              <w:sz w:val="18"/>
              <w:szCs w:val="18"/>
            </w:rPr>
            <w:t>4</w:t>
          </w:r>
          <w:r w:rsidRPr="00A704A3">
            <w:rPr>
              <w:rFonts w:ascii="Arial" w:hAnsi="Arial" w:cs="Arial"/>
              <w:sz w:val="18"/>
              <w:szCs w:val="18"/>
            </w:rPr>
            <w:fldChar w:fldCharType="end"/>
          </w:r>
        </w:p>
      </w:tc>
    </w:tr>
  </w:tbl>
  <w:p w:rsidR="00F63BAF" w:rsidRPr="00A704A3" w:rsidRDefault="00F63BAF" w:rsidP="00A704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137" w:rsidRDefault="001F3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386"/>
        </w:tabs>
        <w:ind w:left="1386"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25F26B1C"/>
    <w:multiLevelType w:val="multilevel"/>
    <w:tmpl w:val="4EAECF9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720"/>
        </w:tabs>
        <w:ind w:left="720" w:hanging="720"/>
      </w:pPr>
      <w:rPr>
        <w:rFonts w:ascii="Arial" w:hAnsi="Arial" w:hint="default"/>
        <w:b w:val="0"/>
        <w:i w:val="0"/>
      </w:rPr>
    </w:lvl>
    <w:lvl w:ilvl="2">
      <w:start w:val="1"/>
      <w:numFmt w:val="upperLetter"/>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lowerLetter"/>
      <w:lvlText w:val="%5."/>
      <w:lvlJc w:val="left"/>
      <w:pPr>
        <w:tabs>
          <w:tab w:val="num" w:pos="2160"/>
        </w:tabs>
        <w:ind w:left="2160" w:hanging="720"/>
      </w:pPr>
      <w:rPr>
        <w:rFonts w:ascii="Arial" w:hAnsi="Arial" w:hint="default"/>
      </w:rPr>
    </w:lvl>
    <w:lvl w:ilvl="5">
      <w:start w:val="1"/>
      <w:numFmt w:val="decimal"/>
      <w:lvlText w:val="%6)"/>
      <w:lvlJc w:val="left"/>
      <w:pPr>
        <w:tabs>
          <w:tab w:val="num" w:pos="2520"/>
        </w:tabs>
        <w:ind w:left="2520" w:hanging="360"/>
      </w:pPr>
      <w:rPr>
        <w:rFonts w:ascii="Arial" w:hAnsi="Arial" w:hint="default"/>
      </w:rPr>
    </w:lvl>
    <w:lvl w:ilvl="6">
      <w:start w:val="1"/>
      <w:numFmt w:val="lowerLetter"/>
      <w:lvlText w:val="%7)"/>
      <w:lvlJc w:val="left"/>
      <w:pPr>
        <w:tabs>
          <w:tab w:val="num" w:pos="2880"/>
        </w:tabs>
        <w:ind w:left="2880" w:hanging="360"/>
      </w:pPr>
      <w:rPr>
        <w:rFonts w:ascii="Arial" w:hAnsi="Arial" w:hint="default"/>
      </w:rPr>
    </w:lvl>
    <w:lvl w:ilvl="7">
      <w:start w:val="1"/>
      <w:numFmt w:val="decimal"/>
      <w:lvlText w:val="(%8)"/>
      <w:lvlJc w:val="left"/>
      <w:pPr>
        <w:tabs>
          <w:tab w:val="num" w:pos="3240"/>
        </w:tabs>
        <w:ind w:left="3240" w:hanging="360"/>
      </w:pPr>
      <w:rPr>
        <w:rFonts w:ascii="Arial" w:hAnsi="Arial" w:hint="default"/>
      </w:rPr>
    </w:lvl>
    <w:lvl w:ilvl="8">
      <w:start w:val="1"/>
      <w:numFmt w:val="lowerLetter"/>
      <w:lvlText w:val="(%9)"/>
      <w:lvlJc w:val="left"/>
      <w:pPr>
        <w:tabs>
          <w:tab w:val="num" w:pos="3600"/>
        </w:tabs>
        <w:ind w:left="3600" w:hanging="360"/>
      </w:pPr>
      <w:rPr>
        <w:rFonts w:ascii="Arial" w:hAnsi="Arial" w:hint="default"/>
      </w:rPr>
    </w:lvl>
  </w:abstractNum>
  <w:abstractNum w:abstractNumId="2" w15:restartNumberingAfterBreak="0">
    <w:nsid w:val="3DA064D5"/>
    <w:multiLevelType w:val="multilevel"/>
    <w:tmpl w:val="E138BCE8"/>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 w15:restartNumberingAfterBreak="0">
    <w:nsid w:val="4BF41452"/>
    <w:multiLevelType w:val="multilevel"/>
    <w:tmpl w:val="BBB80D96"/>
    <w:lvl w:ilvl="0">
      <w:start w:val="1"/>
      <w:numFmt w:val="decimal"/>
      <w:suff w:val="nothing"/>
      <w:lvlText w:val="PART %1 - "/>
      <w:lvlJc w:val="left"/>
      <w:pPr>
        <w:ind w:left="0" w:firstLine="0"/>
      </w:pPr>
      <w:rPr>
        <w:rFonts w:ascii="Arial" w:hAnsi="Arial" w:cs="Times New Roman" w:hint="default"/>
        <w:b/>
        <w:i w:val="0"/>
      </w:rPr>
    </w:lvl>
    <w:lvl w:ilvl="1">
      <w:start w:val="1"/>
      <w:numFmt w:val="decimal"/>
      <w:lvlText w:val="%1.%2"/>
      <w:lvlJc w:val="left"/>
      <w:pPr>
        <w:tabs>
          <w:tab w:val="num" w:pos="720"/>
        </w:tabs>
        <w:ind w:left="720" w:hanging="720"/>
      </w:pPr>
      <w:rPr>
        <w:rFonts w:ascii="Arial" w:hAnsi="Arial" w:cs="Times New Roman" w:hint="default"/>
        <w:b w:val="0"/>
        <w:i w:val="0"/>
      </w:rPr>
    </w:lvl>
    <w:lvl w:ilvl="2">
      <w:start w:val="1"/>
      <w:numFmt w:val="upperLetter"/>
      <w:lvlText w:val="%3."/>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rPr>
        <w:rFonts w:ascii="Arial" w:hAnsi="Arial" w:cs="Times New Roman" w:hint="default"/>
      </w:rPr>
    </w:lvl>
    <w:lvl w:ilvl="4">
      <w:start w:val="1"/>
      <w:numFmt w:val="lowerLetter"/>
      <w:lvlText w:val="%5."/>
      <w:lvlJc w:val="left"/>
      <w:pPr>
        <w:tabs>
          <w:tab w:val="num" w:pos="2160"/>
        </w:tabs>
        <w:ind w:left="2160" w:hanging="720"/>
      </w:pPr>
      <w:rPr>
        <w:rFonts w:ascii="Arial" w:hAnsi="Arial" w:cs="Times New Roman" w:hint="default"/>
      </w:rPr>
    </w:lvl>
    <w:lvl w:ilvl="5">
      <w:start w:val="1"/>
      <w:numFmt w:val="decimal"/>
      <w:lvlText w:val="%6)"/>
      <w:lvlJc w:val="left"/>
      <w:pPr>
        <w:tabs>
          <w:tab w:val="num" w:pos="2520"/>
        </w:tabs>
        <w:ind w:left="2520" w:hanging="360"/>
      </w:pPr>
      <w:rPr>
        <w:rFonts w:ascii="Arial" w:hAnsi="Arial" w:cs="Times New Roman" w:hint="default"/>
      </w:rPr>
    </w:lvl>
    <w:lvl w:ilvl="6">
      <w:start w:val="1"/>
      <w:numFmt w:val="lowerLetter"/>
      <w:lvlText w:val="%7)"/>
      <w:lvlJc w:val="left"/>
      <w:pPr>
        <w:tabs>
          <w:tab w:val="num" w:pos="2880"/>
        </w:tabs>
        <w:ind w:left="2880" w:hanging="360"/>
      </w:pPr>
      <w:rPr>
        <w:rFonts w:ascii="Arial" w:hAnsi="Arial" w:cs="Times New Roman" w:hint="default"/>
      </w:rPr>
    </w:lvl>
    <w:lvl w:ilvl="7">
      <w:start w:val="1"/>
      <w:numFmt w:val="decimal"/>
      <w:lvlText w:val="(%8)"/>
      <w:lvlJc w:val="left"/>
      <w:pPr>
        <w:tabs>
          <w:tab w:val="num" w:pos="3240"/>
        </w:tabs>
        <w:ind w:left="3240" w:hanging="360"/>
      </w:pPr>
      <w:rPr>
        <w:rFonts w:ascii="Arial" w:hAnsi="Arial" w:cs="Times New Roman" w:hint="default"/>
      </w:rPr>
    </w:lvl>
    <w:lvl w:ilvl="8">
      <w:start w:val="1"/>
      <w:numFmt w:val="lowerLetter"/>
      <w:lvlText w:val="(%9)"/>
      <w:lvlJc w:val="left"/>
      <w:pPr>
        <w:tabs>
          <w:tab w:val="num" w:pos="3600"/>
        </w:tabs>
        <w:ind w:left="3600" w:hanging="360"/>
      </w:pPr>
      <w:rPr>
        <w:rFonts w:ascii="Arial" w:hAnsi="Arial" w:cs="Times New Roman" w:hint="default"/>
      </w:rPr>
    </w:lvl>
  </w:abstractNum>
  <w:abstractNum w:abstractNumId="4" w15:restartNumberingAfterBreak="0">
    <w:nsid w:val="54AD3BA8"/>
    <w:multiLevelType w:val="multilevel"/>
    <w:tmpl w:val="B8400088"/>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720"/>
        </w:tabs>
        <w:ind w:left="720" w:hanging="720"/>
      </w:pPr>
      <w:rPr>
        <w:rFonts w:ascii="Arial" w:hAnsi="Arial" w:hint="default"/>
        <w:b w:val="0"/>
        <w:i w:val="0"/>
      </w:rPr>
    </w:lvl>
    <w:lvl w:ilvl="2">
      <w:start w:val="1"/>
      <w:numFmt w:val="upperLetter"/>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lowerLetter"/>
      <w:lvlText w:val="%5."/>
      <w:lvlJc w:val="left"/>
      <w:pPr>
        <w:tabs>
          <w:tab w:val="num" w:pos="2160"/>
        </w:tabs>
        <w:ind w:left="2160" w:hanging="720"/>
      </w:pPr>
      <w:rPr>
        <w:rFonts w:ascii="Arial" w:hAnsi="Arial" w:hint="default"/>
      </w:rPr>
    </w:lvl>
    <w:lvl w:ilvl="5">
      <w:start w:val="1"/>
      <w:numFmt w:val="decimal"/>
      <w:lvlText w:val="%6)"/>
      <w:lvlJc w:val="left"/>
      <w:pPr>
        <w:tabs>
          <w:tab w:val="num" w:pos="2520"/>
        </w:tabs>
        <w:ind w:left="2520" w:hanging="360"/>
      </w:pPr>
      <w:rPr>
        <w:rFonts w:ascii="Arial" w:hAnsi="Arial" w:hint="default"/>
      </w:rPr>
    </w:lvl>
    <w:lvl w:ilvl="6">
      <w:start w:val="1"/>
      <w:numFmt w:val="lowerLetter"/>
      <w:lvlText w:val="%7)"/>
      <w:lvlJc w:val="left"/>
      <w:pPr>
        <w:tabs>
          <w:tab w:val="num" w:pos="2880"/>
        </w:tabs>
        <w:ind w:left="2880" w:hanging="360"/>
      </w:pPr>
      <w:rPr>
        <w:rFonts w:ascii="Arial" w:hAnsi="Arial" w:hint="default"/>
      </w:rPr>
    </w:lvl>
    <w:lvl w:ilvl="7">
      <w:start w:val="1"/>
      <w:numFmt w:val="decimal"/>
      <w:lvlText w:val="(%8)"/>
      <w:lvlJc w:val="left"/>
      <w:pPr>
        <w:tabs>
          <w:tab w:val="num" w:pos="3240"/>
        </w:tabs>
        <w:ind w:left="3240" w:hanging="360"/>
      </w:pPr>
      <w:rPr>
        <w:rFonts w:ascii="Arial" w:hAnsi="Arial" w:hint="default"/>
      </w:rPr>
    </w:lvl>
    <w:lvl w:ilvl="8">
      <w:start w:val="1"/>
      <w:numFmt w:val="lowerLetter"/>
      <w:lvlText w:val="(%9)"/>
      <w:lvlJc w:val="left"/>
      <w:pPr>
        <w:tabs>
          <w:tab w:val="num" w:pos="3600"/>
        </w:tabs>
        <w:ind w:left="3600" w:hanging="360"/>
      </w:pPr>
      <w:rPr>
        <w:rFonts w:ascii="Arial" w:hAnsi="Arial" w:hint="default"/>
      </w:rPr>
    </w:lvl>
  </w:abstractNum>
  <w:abstractNum w:abstractNumId="5" w15:restartNumberingAfterBreak="0">
    <w:nsid w:val="5DF96618"/>
    <w:multiLevelType w:val="multilevel"/>
    <w:tmpl w:val="6C346FA6"/>
    <w:lvl w:ilvl="0">
      <w:start w:val="3"/>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6" w15:restartNumberingAfterBreak="0">
    <w:nsid w:val="65035F46"/>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7" w15:restartNumberingAfterBreak="0">
    <w:nsid w:val="66510270"/>
    <w:multiLevelType w:val="multilevel"/>
    <w:tmpl w:val="23CA4CF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num w:numId="1">
    <w:abstractNumId w:val="0"/>
  </w:num>
  <w:num w:numId="2">
    <w:abstractNumId w:val="7"/>
  </w:num>
  <w:num w:numId="3">
    <w:abstractNumId w:val="2"/>
  </w:num>
  <w:num w:numId="4">
    <w:abstractNumId w:val="5"/>
  </w:num>
  <w:num w:numId="5">
    <w:abstractNumId w:val="1"/>
  </w:num>
  <w:num w:numId="6">
    <w:abstractNumId w:val="4"/>
  </w:num>
  <w:num w:numId="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9/01/14"/>
    <w:docVar w:name="Format" w:val="1"/>
    <w:docVar w:name="MF04" w:val="093013"/>
    <w:docVar w:name="MF95" w:val="09310"/>
    <w:docVar w:name="MFOrigin" w:val="MF04"/>
    <w:docVar w:name="SectionID" w:val="3166"/>
    <w:docVar w:name="SpecType" w:val="MasterSpec"/>
    <w:docVar w:name="Version" w:val="11301"/>
  </w:docVars>
  <w:rsids>
    <w:rsidRoot w:val="00EC07BD"/>
    <w:rsid w:val="00002B8E"/>
    <w:rsid w:val="000176F9"/>
    <w:rsid w:val="00030068"/>
    <w:rsid w:val="00063289"/>
    <w:rsid w:val="000E7113"/>
    <w:rsid w:val="000F6E18"/>
    <w:rsid w:val="001417E2"/>
    <w:rsid w:val="001E0886"/>
    <w:rsid w:val="001F040E"/>
    <w:rsid w:val="001F3137"/>
    <w:rsid w:val="0024262F"/>
    <w:rsid w:val="00250243"/>
    <w:rsid w:val="002E1586"/>
    <w:rsid w:val="00332558"/>
    <w:rsid w:val="00337E78"/>
    <w:rsid w:val="0038303C"/>
    <w:rsid w:val="003F56DB"/>
    <w:rsid w:val="00477F48"/>
    <w:rsid w:val="0048668F"/>
    <w:rsid w:val="004D7F91"/>
    <w:rsid w:val="0050533F"/>
    <w:rsid w:val="005517F8"/>
    <w:rsid w:val="005810E5"/>
    <w:rsid w:val="005912A9"/>
    <w:rsid w:val="00627370"/>
    <w:rsid w:val="00632160"/>
    <w:rsid w:val="00647FAE"/>
    <w:rsid w:val="00650C16"/>
    <w:rsid w:val="008C3CBD"/>
    <w:rsid w:val="008D6113"/>
    <w:rsid w:val="00931BF7"/>
    <w:rsid w:val="009B0F8C"/>
    <w:rsid w:val="00A5018D"/>
    <w:rsid w:val="00A704A3"/>
    <w:rsid w:val="00A707EE"/>
    <w:rsid w:val="00AC3FEF"/>
    <w:rsid w:val="00B40152"/>
    <w:rsid w:val="00BE0C28"/>
    <w:rsid w:val="00BE2E3C"/>
    <w:rsid w:val="00CD72FE"/>
    <w:rsid w:val="00CE0941"/>
    <w:rsid w:val="00D0137D"/>
    <w:rsid w:val="00D026F8"/>
    <w:rsid w:val="00D335C5"/>
    <w:rsid w:val="00DF29C5"/>
    <w:rsid w:val="00E156B1"/>
    <w:rsid w:val="00EC07BD"/>
    <w:rsid w:val="00F622F4"/>
    <w:rsid w:val="00F63BAF"/>
    <w:rsid w:val="00FE5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58AFA6-D001-4D5F-8DB9-AC0F4DF4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qFormat/>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qFormat/>
    <w:pPr>
      <w:keepNext/>
      <w:numPr>
        <w:ilvl w:val="3"/>
        <w:numId w:val="1"/>
      </w:numPr>
      <w:suppressAutoHyphens/>
      <w:spacing w:before="480"/>
      <w:jc w:val="both"/>
      <w:outlineLvl w:val="1"/>
    </w:pPr>
  </w:style>
  <w:style w:type="paragraph" w:customStyle="1" w:styleId="PR1">
    <w:name w:val="PR1"/>
    <w:basedOn w:val="Normal"/>
    <w:qFormat/>
    <w:pPr>
      <w:numPr>
        <w:ilvl w:val="4"/>
        <w:numId w:val="1"/>
      </w:numPr>
      <w:suppressAutoHyphens/>
      <w:spacing w:before="240"/>
      <w:jc w:val="both"/>
      <w:outlineLvl w:val="2"/>
    </w:pPr>
  </w:style>
  <w:style w:type="paragraph" w:customStyle="1" w:styleId="PR2">
    <w:name w:val="PR2"/>
    <w:basedOn w:val="Normal"/>
    <w:qFormat/>
    <w:pPr>
      <w:numPr>
        <w:ilvl w:val="5"/>
        <w:numId w:val="1"/>
      </w:numPr>
      <w:tabs>
        <w:tab w:val="left" w:pos="1440"/>
      </w:tabs>
      <w:suppressAutoHyphens/>
      <w:ind w:left="1440"/>
      <w:jc w:val="both"/>
      <w:outlineLvl w:val="3"/>
    </w:pPr>
  </w:style>
  <w:style w:type="paragraph" w:customStyle="1" w:styleId="PR3">
    <w:name w:val="PR3"/>
    <w:basedOn w:val="Normal"/>
    <w:qFormat/>
    <w:pPr>
      <w:numPr>
        <w:ilvl w:val="6"/>
        <w:numId w:val="1"/>
      </w:numPr>
      <w:suppressAutoHyphens/>
      <w:jc w:val="both"/>
      <w:outlineLvl w:val="4"/>
    </w:pPr>
  </w:style>
  <w:style w:type="paragraph" w:customStyle="1" w:styleId="PR4">
    <w:name w:val="PR4"/>
    <w:basedOn w:val="Normal"/>
    <w:qFormat/>
    <w:pPr>
      <w:numPr>
        <w:ilvl w:val="7"/>
        <w:numId w:val="1"/>
      </w:numPr>
      <w:suppressAutoHyphens/>
      <w:jc w:val="both"/>
      <w:outlineLvl w:val="5"/>
    </w:pPr>
  </w:style>
  <w:style w:type="paragraph" w:customStyle="1" w:styleId="PR5">
    <w:name w:val="PR5"/>
    <w:basedOn w:val="Normal"/>
    <w:qFormat/>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paragraph" w:styleId="Header">
    <w:name w:val="header"/>
    <w:basedOn w:val="Normal"/>
    <w:link w:val="HeaderChar"/>
    <w:unhideWhenUsed/>
    <w:rsid w:val="00EC07BD"/>
    <w:pPr>
      <w:tabs>
        <w:tab w:val="center" w:pos="4680"/>
        <w:tab w:val="right" w:pos="9360"/>
      </w:tabs>
    </w:pPr>
  </w:style>
  <w:style w:type="character" w:customStyle="1" w:styleId="HeaderChar">
    <w:name w:val="Header Char"/>
    <w:basedOn w:val="DefaultParagraphFont"/>
    <w:link w:val="Header"/>
    <w:rsid w:val="00EC07BD"/>
  </w:style>
  <w:style w:type="paragraph" w:styleId="Footer">
    <w:name w:val="footer"/>
    <w:basedOn w:val="Normal"/>
    <w:link w:val="FooterChar"/>
    <w:unhideWhenUsed/>
    <w:rsid w:val="00EC07BD"/>
    <w:pPr>
      <w:tabs>
        <w:tab w:val="center" w:pos="4680"/>
        <w:tab w:val="right" w:pos="9360"/>
      </w:tabs>
    </w:pPr>
  </w:style>
  <w:style w:type="character" w:customStyle="1" w:styleId="FooterChar">
    <w:name w:val="Footer Char"/>
    <w:basedOn w:val="DefaultParagraphFont"/>
    <w:link w:val="Footer"/>
    <w:uiPriority w:val="99"/>
    <w:rsid w:val="00EC07BD"/>
  </w:style>
  <w:style w:type="paragraph" w:customStyle="1" w:styleId="TIP">
    <w:name w:val="TIP"/>
    <w:basedOn w:val="Normal"/>
    <w:link w:val="TIPChar"/>
    <w:rsid w:val="005912A9"/>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5912A9"/>
    <w:rPr>
      <w:vanish/>
      <w:color w:val="0000FF"/>
    </w:rPr>
  </w:style>
  <w:style w:type="character" w:customStyle="1" w:styleId="TIPChar">
    <w:name w:val="TIP Char"/>
    <w:link w:val="TIP"/>
    <w:rsid w:val="005912A9"/>
    <w:rPr>
      <w:vanish w:val="0"/>
      <w:color w:val="B30838"/>
    </w:rPr>
  </w:style>
  <w:style w:type="character" w:customStyle="1" w:styleId="SAhyperlink">
    <w:name w:val="SAhyperlink"/>
    <w:uiPriority w:val="1"/>
    <w:qFormat/>
    <w:rsid w:val="00D026F8"/>
    <w:rPr>
      <w:color w:val="E36C0A"/>
      <w:u w:val="single"/>
    </w:rPr>
  </w:style>
  <w:style w:type="character" w:styleId="Hyperlink">
    <w:name w:val="Hyperlink"/>
    <w:uiPriority w:val="99"/>
    <w:unhideWhenUsed/>
    <w:rsid w:val="00D026F8"/>
    <w:rPr>
      <w:color w:val="0000FF"/>
      <w:u w:val="single"/>
    </w:rPr>
  </w:style>
  <w:style w:type="character" w:customStyle="1" w:styleId="SustHyperlink">
    <w:name w:val="SustHyperlink"/>
    <w:rsid w:val="00FE5CEC"/>
    <w:rPr>
      <w:color w:val="009900"/>
      <w:u w:val="single"/>
    </w:rPr>
  </w:style>
  <w:style w:type="character" w:styleId="PageNumber">
    <w:name w:val="page number"/>
    <w:rsid w:val="00CE0941"/>
  </w:style>
  <w:style w:type="paragraph" w:styleId="BalloonText">
    <w:name w:val="Balloon Text"/>
    <w:basedOn w:val="Normal"/>
    <w:link w:val="BalloonTextChar"/>
    <w:uiPriority w:val="99"/>
    <w:semiHidden/>
    <w:unhideWhenUsed/>
    <w:rsid w:val="00A704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4A3"/>
    <w:rPr>
      <w:rFonts w:ascii="Segoe UI" w:hAnsi="Segoe UI" w:cs="Segoe UI"/>
      <w:sz w:val="18"/>
      <w:szCs w:val="18"/>
    </w:rPr>
  </w:style>
  <w:style w:type="paragraph" w:styleId="ListParagraph">
    <w:name w:val="List Paragraph"/>
    <w:basedOn w:val="Normal"/>
    <w:uiPriority w:val="34"/>
    <w:qFormat/>
    <w:rsid w:val="00A70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8110">
      <w:bodyDiv w:val="1"/>
      <w:marLeft w:val="0"/>
      <w:marRight w:val="0"/>
      <w:marTop w:val="0"/>
      <w:marBottom w:val="0"/>
      <w:divBdr>
        <w:top w:val="none" w:sz="0" w:space="0" w:color="auto"/>
        <w:left w:val="none" w:sz="0" w:space="0" w:color="auto"/>
        <w:bottom w:val="none" w:sz="0" w:space="0" w:color="auto"/>
        <w:right w:val="none" w:sz="0" w:space="0" w:color="auto"/>
      </w:divBdr>
    </w:div>
    <w:div w:id="202748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agent.com/LookUp/?ulid=277&amp;mf=04&amp;src=wd"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specagent.com/LookUp/?ulid=273&amp;mf=04&amp;src=wd"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21C7EC-B843-4C54-AC02-ECAF8128A257}"/>
</file>

<file path=customXml/itemProps2.xml><?xml version="1.0" encoding="utf-8"?>
<ds:datastoreItem xmlns:ds="http://schemas.openxmlformats.org/officeDocument/2006/customXml" ds:itemID="{DDC8E5B7-CC44-496C-B0C0-EEA7A9E333AC}"/>
</file>

<file path=customXml/itemProps3.xml><?xml version="1.0" encoding="utf-8"?>
<ds:datastoreItem xmlns:ds="http://schemas.openxmlformats.org/officeDocument/2006/customXml" ds:itemID="{6C1AE5F5-AF8F-4C32-A800-47E8A719E779}"/>
</file>

<file path=docProps/app.xml><?xml version="1.0" encoding="utf-8"?>
<Properties xmlns="http://schemas.openxmlformats.org/officeDocument/2006/extended-properties" xmlns:vt="http://schemas.openxmlformats.org/officeDocument/2006/docPropsVTypes">
  <Template>Normal</Template>
  <TotalTime>10</TotalTime>
  <Pages>5</Pages>
  <Words>1561</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SECTION 093013 - CERAMIC TILING</vt:lpstr>
    </vt:vector>
  </TitlesOfParts>
  <Company/>
  <LinksUpToDate>false</LinksUpToDate>
  <CharactersWithSpaces>10287</CharactersWithSpaces>
  <SharedDoc>false</SharedDoc>
  <HLinks>
    <vt:vector size="12" baseType="variant">
      <vt:variant>
        <vt:i4>7405665</vt:i4>
      </vt:variant>
      <vt:variant>
        <vt:i4>3</vt:i4>
      </vt:variant>
      <vt:variant>
        <vt:i4>0</vt:i4>
      </vt:variant>
      <vt:variant>
        <vt:i4>5</vt:i4>
      </vt:variant>
      <vt:variant>
        <vt:lpwstr>http://www.specagent.com/LookUp/?ulid=277&amp;mf=04&amp;src=wd</vt:lpwstr>
      </vt:variant>
      <vt:variant>
        <vt:lpwstr/>
      </vt:variant>
      <vt:variant>
        <vt:i4>7405669</vt:i4>
      </vt:variant>
      <vt:variant>
        <vt:i4>0</vt:i4>
      </vt:variant>
      <vt:variant>
        <vt:i4>0</vt:i4>
      </vt:variant>
      <vt:variant>
        <vt:i4>5</vt:i4>
      </vt:variant>
      <vt:variant>
        <vt:lpwstr>http://www.specagent.com/LookUp/?ulid=273&amp;mf=04&amp;src=wd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093013 - CERAMIC TILING</dc:title>
  <dc:subject>CERAMIC TILING</dc:subject>
  <dc:creator>ARCOM, Inc.</dc:creator>
  <cp:keywords>BAS-12345-MS80</cp:keywords>
  <cp:lastModifiedBy>Madeleine Hahn</cp:lastModifiedBy>
  <cp:revision>4</cp:revision>
  <cp:lastPrinted>2018-08-29T16:16:00Z</cp:lastPrinted>
  <dcterms:created xsi:type="dcterms:W3CDTF">2018-08-28T22:25:00Z</dcterms:created>
  <dcterms:modified xsi:type="dcterms:W3CDTF">2018-09-01T01:18:00Z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